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36"/>
          <w:szCs w:val="36"/>
        </w:rPr>
      </w:pPr>
      <w:r>
        <w:rPr>
          <w:rFonts w:hint="eastAsia" w:asciiTheme="minorEastAsia" w:hAnsiTheme="minorEastAsia"/>
          <w:b/>
          <w:sz w:val="36"/>
          <w:szCs w:val="36"/>
        </w:rPr>
        <w:t>齐鲁工业大学（山东省科学院）</w:t>
      </w:r>
    </w:p>
    <w:p>
      <w:pPr>
        <w:jc w:val="center"/>
        <w:rPr>
          <w:rFonts w:asciiTheme="minorEastAsia" w:hAnsiTheme="minorEastAsia"/>
          <w:b/>
          <w:sz w:val="36"/>
          <w:szCs w:val="36"/>
        </w:rPr>
      </w:pPr>
      <w:bookmarkStart w:id="0" w:name="_GoBack"/>
      <w:r>
        <w:rPr>
          <w:rFonts w:asciiTheme="minorEastAsia" w:hAnsiTheme="minorEastAsia"/>
          <w:b/>
          <w:sz w:val="36"/>
          <w:szCs w:val="36"/>
        </w:rPr>
        <w:t>202</w:t>
      </w:r>
      <w:r>
        <w:rPr>
          <w:rFonts w:hint="eastAsia" w:asciiTheme="minorEastAsia" w:hAnsiTheme="minorEastAsia"/>
          <w:b/>
          <w:sz w:val="36"/>
          <w:szCs w:val="36"/>
        </w:rPr>
        <w:t>2</w:t>
      </w:r>
      <w:r>
        <w:rPr>
          <w:rFonts w:asciiTheme="minorEastAsia" w:hAnsiTheme="minorEastAsia"/>
          <w:b/>
          <w:sz w:val="36"/>
          <w:szCs w:val="36"/>
        </w:rPr>
        <w:t>年</w:t>
      </w:r>
      <w:r>
        <w:rPr>
          <w:rFonts w:hint="eastAsia" w:asciiTheme="minorEastAsia" w:hAnsiTheme="minorEastAsia"/>
          <w:b/>
          <w:sz w:val="36"/>
          <w:szCs w:val="36"/>
        </w:rPr>
        <w:t>校级</w:t>
      </w:r>
      <w:r>
        <w:rPr>
          <w:rFonts w:hint="eastAsia" w:asciiTheme="minorEastAsia" w:hAnsiTheme="minorEastAsia"/>
          <w:b/>
          <w:sz w:val="36"/>
          <w:szCs w:val="36"/>
          <w:lang w:val="en-US" w:eastAsia="zh-CN"/>
        </w:rPr>
        <w:t>一般</w:t>
      </w:r>
      <w:r>
        <w:rPr>
          <w:rFonts w:hint="eastAsia" w:asciiTheme="minorEastAsia" w:hAnsiTheme="minorEastAsia"/>
          <w:b/>
          <w:sz w:val="36"/>
          <w:szCs w:val="36"/>
        </w:rPr>
        <w:t>教学改革项目拟立项名单</w:t>
      </w:r>
    </w:p>
    <w:bookmarkEnd w:id="0"/>
    <w:p/>
    <w:p/>
    <w:tbl>
      <w:tblPr>
        <w:tblW w:w="98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945"/>
        <w:gridCol w:w="4826"/>
        <w:gridCol w:w="1324"/>
        <w:gridCol w:w="2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序号</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项目名称</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姓名</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bdr w:val="none" w:color="auto" w:sz="0" w:space="0"/>
                <w:lang w:val="en-US" w:eastAsia="zh-CN" w:bidi="ar"/>
              </w:rPr>
              <w:t>所在学部（学院）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软件工程国家级一流专业建设背景下编程类课程教学改革研究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杨振宇</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计算机科学与技术学部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新工科背景下基于OBE理念的物联网工程专业实践能力培养与提升</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刘广起</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计算机科学与技术学部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基于《高分子化学与物理》课程的线上+线下混合式教学模式的探索与实践</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夏光美</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轻工学部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后疫情时代基于移动互联网络环境的学习模式研究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刘红烨</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轻工学部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基于OBE理念、虚实结合的液压与气压传动课程多元混合式教学改革</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赵姿贞</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机械工程学部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基于第二课堂的机械专业大学生创新创业能力培养研究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李春玲</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机械工程学部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基于典型案例分析的大学生成功创业影响因素研究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路玉峰</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机械工程学部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“创新驱动、优体强翼”的《电磁场基础》课程教学体系构建研究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郝玲艳</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电子电气与控制学部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“人工智能+互联网”背景下高校情商教育现状调查与提升策略研究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Style w:val="6"/>
                <w:rFonts w:hAnsi="宋体"/>
                <w:bdr w:val="none" w:color="auto" w:sz="0" w:space="0"/>
                <w:lang w:val="en-US" w:eastAsia="zh-CN" w:bidi="ar"/>
              </w:rPr>
              <w:t>张</w:t>
            </w:r>
            <w:r>
              <w:rPr>
                <w:rStyle w:val="7"/>
                <w:bdr w:val="none" w:color="auto" w:sz="0" w:space="0"/>
                <w:lang w:val="en-US" w:eastAsia="zh-CN" w:bidi="ar"/>
              </w:rPr>
              <w:t>玥</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电子电气与控制学部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案例法教学模式在生物技术专业中的应用与探究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张静</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生物工程学部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基于OBE理念的《分子生物学》课程思政建设研究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杨真</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生物工程学部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 xml:space="preserve">“156”产教融合人才培养模式研究与实践 </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苏丽莉</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生物工程学部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13</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《食品工程原理》全课程生命周期思政育人教学实践</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于海峰</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食品科学与工程学部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14</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线上线下混合式教学模式下的《现代食品检测技术》一流课程建设研究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杨晓颖</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食品科学与工程学部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15</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科教融合背景下本科生学位论文质量过程管理与实践研究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申婷婷</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环境科学与工程学部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16</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生态文明背景下环境化学课程思政体系的构建与探索</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孙静</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环境科学与工程学部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17</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国际视野下环境科学与工程类专业教学改革研究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孙雷</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环境科学与工程学部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18</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“五位一体”课程思政育人体系在基础化学实验中的应用实践</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戴肖南</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化学与制药学部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19</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基于有机化学混合式一流课程的研究性教学的实践与探索</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田燕</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化学与制药学部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20</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立德树人理念下制药工程专业有机化学课程思政的探索与实践</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陶芙蓉</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化学与制药学部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21</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基于OBE理念的线上线下教学模式的创新研究—以化工原理课程为例</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贾海园</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化学与制药学部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22</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化学相关传统优势专业生源质量提升策略研究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王世杰</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化学与制药学部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23</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基于专业必修课《工程力学》的思政示范课程建设与实践</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徐越</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材料科学与工程学部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24</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线上线下专业课全流程高阶目标多维评价的教学模式探索</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李仲伟</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材料科学与工程学部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25</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“金课”视域下结晶学融合创新课程建设研究与探索</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蒋天龙</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材料科学与工程学部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26</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基于高分子材料与工程专业综合实验的实验课程改革与实践</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杨志洲</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材料科学与工程学部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27</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基于SPOC打造“两点、三线、四环”的高等数学混合式教学模式</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李颖</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数学与人工智能学部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28</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数学分析（1）混合式课堂教学改革研究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韩燕苓</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数学与人工智能学部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29</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利用“思维导图+微课”提升大学物理课堂教学效率的研究与实践</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张玉瑾</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光电科学与技术学部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30</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科教产融合下光电专业学生毕业能力培养方法研究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张文浩</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光电科学与技术学部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31</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基于PAD模式的《流体力学》课堂教学模式创新研究与实践</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魏伟</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能源与动力工程学部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32</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基于“课程思政”教育模式的能动类专业基础课教学改革研究——以《工程材料》课程为例</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于贺伟</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能源与动力工程学部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33</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基于OBE理念的《动力机械原理与运行》课程线上线下混合式教学体系创新与实践</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任常在</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能源与动力工程学部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34</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基于虚拟现实技术的启发式教学方法研究——以《实验流体力学》课程为例</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王越</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海洋技术科学学部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35</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海洋强国和科教融合背景下测控技术与仪器专业“双师型”教师培养机制研究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王波</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海洋技术科学学部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36</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以本科生创新素养培养为导向的设计思维融入项目化教学模式及其应用研究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于力</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经济与管理学部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37</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新形势下高校课程思政实效性研究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刘艳艳</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经济与管理学部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38</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新文科视域下数字媒体艺术专业复合型人才培养路径研究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刘芳蕾</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艺术设计学院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39</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面向数字设计与制造的产品设计教学实践运行机制研究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刘伟</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艺术设计学院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40</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“新艺科“背景下人工智能技术在高校艺术设计教学中的应用研究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董亮</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艺术设计学院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41</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祛弊与重塑：三全育人视域下“以学为中心”的高校思政课“PPS”考核评价体系建构研究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康乐</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42</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二十大精神融入《毛泽东思想和中国特色社会主义理论体系概论》的守正与创新研究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仲崇建</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43</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“双一流”背景下学科、学位点、专业全过程一体化建设探索与实践</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刘辉</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政法学院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44</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课堂教学改革中的经济法课程虚拟仿真平台建设项目的实施</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吴雪莲</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政法学院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45</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以学习体验为中心的大学英语混合式教学模式研究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张玮玮</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46</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基于《习近平谈治国理政》典故英译的大学英语“三进”教育研究</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刘畅</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47</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POA理念下大学英语混合制教学模式探究-以考研英语为例</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刘莹莹</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48</w:t>
            </w:r>
          </w:p>
        </w:tc>
        <w:tc>
          <w:tcPr>
            <w:tcW w:w="48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融入思政元素的大学体育篮球课程线上线下混合教学改革</w:t>
            </w:r>
          </w:p>
        </w:tc>
        <w:tc>
          <w:tcPr>
            <w:tcW w:w="13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张永立</w:t>
            </w:r>
          </w:p>
        </w:tc>
        <w:tc>
          <w:tcPr>
            <w:tcW w:w="27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体育与音乐学院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45"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49</w:t>
            </w:r>
          </w:p>
        </w:tc>
        <w:tc>
          <w:tcPr>
            <w:tcW w:w="4826"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高校电子竞技运动与管理专业人才培养现状及优化策略研究</w:t>
            </w:r>
          </w:p>
        </w:tc>
        <w:tc>
          <w:tcPr>
            <w:tcW w:w="1324"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许恒</w:t>
            </w:r>
          </w:p>
        </w:tc>
        <w:tc>
          <w:tcPr>
            <w:tcW w:w="2721"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体育与音乐学院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50</w:t>
            </w:r>
          </w:p>
        </w:tc>
        <w:tc>
          <w:tcPr>
            <w:tcW w:w="48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高校治理中国式现代化标准研究</w:t>
            </w:r>
          </w:p>
        </w:tc>
        <w:tc>
          <w:tcPr>
            <w:tcW w:w="132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刘佩</w:t>
            </w:r>
          </w:p>
        </w:tc>
        <w:tc>
          <w:tcPr>
            <w:tcW w:w="2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菏泽校区（分院）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45" w:type="dxa"/>
            <w:tcBorders>
              <w:top w:val="single" w:color="auto" w:sz="4" w:space="0"/>
              <w:left w:val="nil"/>
              <w:bottom w:val="nil"/>
              <w:right w:val="nil"/>
            </w:tcBorders>
            <w:shd w:val="clear"/>
            <w:noWrap/>
            <w:vAlign w:val="center"/>
          </w:tcPr>
          <w:p>
            <w:pPr>
              <w:jc w:val="center"/>
              <w:rPr>
                <w:rFonts w:hint="eastAsia" w:ascii="宋体" w:hAnsi="宋体" w:eastAsia="宋体" w:cs="宋体"/>
                <w:i w:val="0"/>
                <w:iCs w:val="0"/>
                <w:color w:val="000000"/>
                <w:sz w:val="24"/>
                <w:szCs w:val="24"/>
                <w:u w:val="none"/>
              </w:rPr>
            </w:pPr>
          </w:p>
        </w:tc>
        <w:tc>
          <w:tcPr>
            <w:tcW w:w="4826" w:type="dxa"/>
            <w:tcBorders>
              <w:top w:val="single" w:color="auto" w:sz="4" w:space="0"/>
              <w:left w:val="nil"/>
              <w:bottom w:val="nil"/>
              <w:right w:val="nil"/>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（注：以上排名不分先后）</w:t>
            </w:r>
          </w:p>
        </w:tc>
        <w:tc>
          <w:tcPr>
            <w:tcW w:w="1324" w:type="dxa"/>
            <w:tcBorders>
              <w:top w:val="single" w:color="auto" w:sz="4" w:space="0"/>
              <w:left w:val="nil"/>
              <w:bottom w:val="nil"/>
              <w:right w:val="nil"/>
            </w:tcBorders>
            <w:shd w:val="clear"/>
            <w:noWrap/>
            <w:vAlign w:val="center"/>
          </w:tcPr>
          <w:p>
            <w:pPr>
              <w:jc w:val="center"/>
              <w:rPr>
                <w:rFonts w:hint="eastAsia" w:ascii="宋体" w:hAnsi="宋体" w:eastAsia="宋体" w:cs="宋体"/>
                <w:i w:val="0"/>
                <w:iCs w:val="0"/>
                <w:color w:val="000000"/>
                <w:sz w:val="24"/>
                <w:szCs w:val="24"/>
                <w:u w:val="none"/>
              </w:rPr>
            </w:pPr>
          </w:p>
        </w:tc>
        <w:tc>
          <w:tcPr>
            <w:tcW w:w="2721" w:type="dxa"/>
            <w:tcBorders>
              <w:top w:val="single" w:color="auto" w:sz="4" w:space="0"/>
              <w:left w:val="nil"/>
              <w:bottom w:val="nil"/>
              <w:right w:val="nil"/>
            </w:tcBorders>
            <w:shd w:val="clear"/>
            <w:noWrap/>
            <w:vAlign w:val="center"/>
          </w:tcPr>
          <w:p>
            <w:pPr>
              <w:jc w:val="center"/>
              <w:rPr>
                <w:rFonts w:hint="eastAsia" w:ascii="宋体" w:hAnsi="宋体" w:eastAsia="宋体" w:cs="宋体"/>
                <w:i w:val="0"/>
                <w:iCs w:val="0"/>
                <w:color w:val="000000"/>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EwNzUxMDMzZDhiOGFjYmQ4OGM1NTc4MDI3NjIifQ=="/>
  </w:docVars>
  <w:rsids>
    <w:rsidRoot w:val="15C578C4"/>
    <w:rsid w:val="15C5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5"/>
    <w:uiPriority w:val="0"/>
    <w:rPr>
      <w:rFonts w:hint="eastAsia" w:ascii="仿宋_GB2312" w:eastAsia="仿宋_GB2312" w:cs="仿宋_GB2312"/>
      <w:color w:val="000000"/>
      <w:sz w:val="24"/>
      <w:szCs w:val="24"/>
      <w:u w:val="none"/>
    </w:rPr>
  </w:style>
  <w:style w:type="character" w:customStyle="1" w:styleId="7">
    <w:name w:val="font2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2022-12-28T06:35:00Z</dcterms:created>
  <dc:creator>小爽子 </dc:creator>
  <cp:lastModifiedBy>小爽子 </cp:lastModifiedBy>
  <dcterms:modified xsi:type="dcterms:W3CDTF">2022-12-28T06:40:41Z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0E63965C480341A2846065BF39944195</vt:lpwstr>
  </property>
</Properties>
</file>