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齐鲁工业大学（山东省科学院）</w:t>
      </w:r>
      <w:r>
        <w:rPr>
          <w:rFonts w:asciiTheme="minorEastAsia" w:hAnsiTheme="minorEastAsia"/>
          <w:b/>
          <w:sz w:val="44"/>
          <w:szCs w:val="44"/>
        </w:rPr>
        <w:t>202</w:t>
      </w:r>
      <w:r>
        <w:rPr>
          <w:rFonts w:hint="eastAsia" w:asciiTheme="minorEastAsia" w:hAnsiTheme="minorEastAsia"/>
          <w:b/>
          <w:sz w:val="44"/>
          <w:szCs w:val="44"/>
        </w:rPr>
        <w:t>2</w:t>
      </w:r>
      <w:r>
        <w:rPr>
          <w:rFonts w:asciiTheme="minorEastAsia" w:hAnsiTheme="minorEastAsia"/>
          <w:b/>
          <w:sz w:val="44"/>
          <w:szCs w:val="44"/>
        </w:rPr>
        <w:t>年</w:t>
      </w:r>
    </w:p>
    <w:p>
      <w:pPr>
        <w:jc w:val="center"/>
        <w:rPr>
          <w:rFonts w:asciiTheme="minorEastAsia" w:hAnsiTheme="minorEastAsia"/>
          <w:b/>
          <w:sz w:val="44"/>
          <w:szCs w:val="44"/>
        </w:rPr>
      </w:pPr>
      <w:r>
        <w:rPr>
          <w:rFonts w:hint="eastAsia" w:asciiTheme="minorEastAsia" w:hAnsiTheme="minorEastAsia"/>
          <w:b/>
          <w:sz w:val="44"/>
          <w:szCs w:val="44"/>
        </w:rPr>
        <w:t>校级重点教学改革项目拟立项名单</w:t>
      </w:r>
    </w:p>
    <w:p/>
    <w:tbl>
      <w:tblPr>
        <w:tblStyle w:val="3"/>
        <w:tblW w:w="9511" w:type="dxa"/>
        <w:tblInd w:w="-8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4283"/>
        <w:gridCol w:w="1250"/>
        <w:gridCol w:w="2667"/>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jc w:val="center"/>
              <w:rPr>
                <w:rFonts w:ascii="仿宋" w:hAnsi="仿宋" w:eastAsia="仿宋"/>
                <w:b/>
                <w:sz w:val="24"/>
                <w:szCs w:val="24"/>
              </w:rPr>
            </w:pPr>
            <w:r>
              <w:rPr>
                <w:rFonts w:hint="eastAsia" w:ascii="仿宋" w:hAnsi="仿宋" w:eastAsia="仿宋"/>
                <w:b/>
                <w:sz w:val="24"/>
                <w:szCs w:val="24"/>
              </w:rPr>
              <w:t>序号</w:t>
            </w:r>
          </w:p>
        </w:tc>
        <w:tc>
          <w:tcPr>
            <w:tcW w:w="4283" w:type="dxa"/>
            <w:vAlign w:val="center"/>
          </w:tcPr>
          <w:p>
            <w:pPr>
              <w:jc w:val="center"/>
              <w:rPr>
                <w:rFonts w:ascii="仿宋" w:hAnsi="仿宋" w:eastAsia="仿宋"/>
                <w:b/>
                <w:sz w:val="24"/>
                <w:szCs w:val="24"/>
              </w:rPr>
            </w:pPr>
            <w:r>
              <w:rPr>
                <w:rFonts w:hint="eastAsia" w:ascii="仿宋" w:hAnsi="仿宋" w:eastAsia="仿宋"/>
                <w:b/>
                <w:sz w:val="24"/>
                <w:szCs w:val="24"/>
              </w:rPr>
              <w:t>项目名称</w:t>
            </w:r>
          </w:p>
        </w:tc>
        <w:tc>
          <w:tcPr>
            <w:tcW w:w="1250" w:type="dxa"/>
            <w:vAlign w:val="center"/>
          </w:tcPr>
          <w:p>
            <w:pPr>
              <w:jc w:val="center"/>
              <w:rPr>
                <w:rFonts w:ascii="仿宋" w:hAnsi="仿宋" w:eastAsia="仿宋"/>
                <w:b/>
                <w:sz w:val="24"/>
                <w:szCs w:val="24"/>
              </w:rPr>
            </w:pPr>
            <w:r>
              <w:rPr>
                <w:rFonts w:hint="eastAsia" w:ascii="仿宋" w:hAnsi="仿宋" w:eastAsia="仿宋"/>
                <w:b/>
                <w:sz w:val="24"/>
                <w:szCs w:val="24"/>
              </w:rPr>
              <w:t>主持人</w:t>
            </w:r>
          </w:p>
        </w:tc>
        <w:tc>
          <w:tcPr>
            <w:tcW w:w="2667" w:type="dxa"/>
            <w:vAlign w:val="center"/>
          </w:tcPr>
          <w:p>
            <w:pPr>
              <w:jc w:val="center"/>
              <w:rPr>
                <w:rFonts w:ascii="仿宋" w:hAnsi="仿宋" w:eastAsia="仿宋"/>
                <w:b/>
                <w:sz w:val="24"/>
                <w:szCs w:val="24"/>
              </w:rPr>
            </w:pPr>
            <w:r>
              <w:rPr>
                <w:rFonts w:hint="eastAsia" w:ascii="仿宋" w:hAnsi="仿宋" w:eastAsia="仿宋"/>
                <w:b/>
                <w:sz w:val="24"/>
                <w:szCs w:val="24"/>
              </w:rPr>
              <w:t>所在学部（学院）</w:t>
            </w:r>
          </w:p>
        </w:tc>
        <w:tc>
          <w:tcPr>
            <w:tcW w:w="783" w:type="dxa"/>
            <w:vAlign w:val="center"/>
          </w:tcPr>
          <w:p>
            <w:pPr>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基于“科教融合”的“项目式”教学体系改革与实践</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李健</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计算机科学与技术学部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2</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以团队合作项目为载体在专业基础课程中贯穿式融入思政元素的教学研究与实践</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齐乐天</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轻工学部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3</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面向国家一流专业的《热工与流体力学》课程思政示范课程建设研究</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吕月霞</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机械工程学部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4</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机器人工程专业人才培养实行研学导师制的探索与实践</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乔晋崴</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机械工程学部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5</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基于国家一流本科课程的教材建设研究</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盛莉</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电子电气与控制学部</w:t>
            </w:r>
          </w:p>
        </w:tc>
        <w:tc>
          <w:tcPr>
            <w:tcW w:w="783" w:type="dxa"/>
            <w:vAlign w:val="center"/>
          </w:tcPr>
          <w:p>
            <w:pPr>
              <w:rPr>
                <w:rFonts w:hint="eastAsia" w:ascii="仿宋" w:hAnsi="仿宋" w:eastAsia="仿宋"/>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6</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问题牵引、组合突破、数智赋能课堂教学模式创新与实践—以《啤酒酿造与文化》课程为例</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聂聪</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生物工程学部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7</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“科教产教”双融合协同培养高质量创新创业人才及驱动机制研究</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卢璐</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食品科学与工程学部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8</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立足于国家生态文明建设战略的高校环境类实践教学改革</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葛秀丽</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环境科学与工程学部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9</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“立德树人”视域下学业导师思政育人体系构建与实践—以材料化学专业为例</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卢启芳</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材料科学与工程学部</w:t>
            </w:r>
          </w:p>
        </w:tc>
        <w:tc>
          <w:tcPr>
            <w:tcW w:w="7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一般转重点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10</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对标两性一度提高学生工程能力《耐火材料》课程案例教学实践探索</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赵萍</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材料科学与工程学部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11</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基于大学数学虚拟教研平台建设下的科技创新人才贯通培养</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曲文蕊</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数学与人工智能学部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12</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逆向设计理论视域下的高校混合式教学设计的理论研究和实践探索</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王存荣</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数学与人工智能学部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13</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高校课堂教学生态环境研究与优化</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任向河</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光电科学与技术学部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14</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海洋强省与新工科背景下测控技术与仪器专业建设探索与实践</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张颖颖</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海洋技术科学学部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15</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高校国家经济安全教育模式创新与实践研究</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张路</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经济与管理学部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16</w:t>
            </w:r>
          </w:p>
        </w:tc>
        <w:tc>
          <w:tcPr>
            <w:tcW w:w="4283"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数智时代新经管人才需求特征与人才培养模式改革的研究与实践</w:t>
            </w:r>
          </w:p>
        </w:tc>
        <w:tc>
          <w:tcPr>
            <w:tcW w:w="1250"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葛万达</w:t>
            </w:r>
          </w:p>
        </w:tc>
        <w:tc>
          <w:tcPr>
            <w:tcW w:w="2667" w:type="dxa"/>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经济与管理学部</w:t>
            </w:r>
          </w:p>
        </w:tc>
        <w:tc>
          <w:tcPr>
            <w:tcW w:w="783" w:type="dxa"/>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tcBorders>
              <w:bottom w:val="single" w:color="auto" w:sz="4" w:space="0"/>
            </w:tcBorders>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17</w:t>
            </w:r>
          </w:p>
        </w:tc>
        <w:tc>
          <w:tcPr>
            <w:tcW w:w="4283"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高等学校设计类竞赛组织管理体系构建与实践研究</w:t>
            </w:r>
          </w:p>
        </w:tc>
        <w:tc>
          <w:tcPr>
            <w:tcW w:w="1250"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高纪洋</w:t>
            </w:r>
          </w:p>
        </w:tc>
        <w:tc>
          <w:tcPr>
            <w:tcW w:w="2667"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艺术设计学院</w:t>
            </w:r>
          </w:p>
        </w:tc>
        <w:tc>
          <w:tcPr>
            <w:tcW w:w="783" w:type="dxa"/>
            <w:tcBorders>
              <w:bottom w:val="single" w:color="auto" w:sz="4" w:space="0"/>
            </w:tcBorders>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tcBorders>
              <w:bottom w:val="single" w:color="auto" w:sz="4" w:space="0"/>
            </w:tcBorders>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18</w:t>
            </w:r>
          </w:p>
        </w:tc>
        <w:tc>
          <w:tcPr>
            <w:tcW w:w="4283"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课程思政视域下艺术类中外合作办学项目课程体系创新研究</w:t>
            </w:r>
          </w:p>
        </w:tc>
        <w:tc>
          <w:tcPr>
            <w:tcW w:w="1250"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贺姗姗</w:t>
            </w:r>
          </w:p>
        </w:tc>
        <w:tc>
          <w:tcPr>
            <w:tcW w:w="2667"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艺术设计学院</w:t>
            </w:r>
          </w:p>
        </w:tc>
        <w:tc>
          <w:tcPr>
            <w:tcW w:w="783" w:type="dxa"/>
            <w:tcBorders>
              <w:bottom w:val="single" w:color="auto" w:sz="4" w:space="0"/>
            </w:tcBorders>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tcBorders>
              <w:bottom w:val="single" w:color="auto" w:sz="4" w:space="0"/>
            </w:tcBorders>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19</w:t>
            </w:r>
          </w:p>
        </w:tc>
        <w:tc>
          <w:tcPr>
            <w:tcW w:w="4283"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基于“双线混融教学”的高校思政课教学模式改革与实践</w:t>
            </w:r>
          </w:p>
        </w:tc>
        <w:tc>
          <w:tcPr>
            <w:tcW w:w="1250"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王立荷</w:t>
            </w:r>
          </w:p>
        </w:tc>
        <w:tc>
          <w:tcPr>
            <w:tcW w:w="2667"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马克思主义学院</w:t>
            </w:r>
          </w:p>
        </w:tc>
        <w:tc>
          <w:tcPr>
            <w:tcW w:w="783" w:type="dxa"/>
            <w:tcBorders>
              <w:bottom w:val="single" w:color="auto" w:sz="4" w:space="0"/>
            </w:tcBorders>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tcBorders>
              <w:bottom w:val="single" w:color="auto" w:sz="4" w:space="0"/>
            </w:tcBorders>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20</w:t>
            </w:r>
          </w:p>
        </w:tc>
        <w:tc>
          <w:tcPr>
            <w:tcW w:w="4283"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高校全环境立德树人“四全四联”推进机制研究与实践</w:t>
            </w:r>
          </w:p>
        </w:tc>
        <w:tc>
          <w:tcPr>
            <w:tcW w:w="1250"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李红霞</w:t>
            </w:r>
          </w:p>
        </w:tc>
        <w:tc>
          <w:tcPr>
            <w:tcW w:w="2667"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政法学院</w:t>
            </w:r>
          </w:p>
        </w:tc>
        <w:tc>
          <w:tcPr>
            <w:tcW w:w="783" w:type="dxa"/>
            <w:tcBorders>
              <w:bottom w:val="single" w:color="auto" w:sz="4" w:space="0"/>
            </w:tcBorders>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tcBorders>
              <w:bottom w:val="single" w:color="auto" w:sz="4" w:space="0"/>
            </w:tcBorders>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21</w:t>
            </w:r>
          </w:p>
        </w:tc>
        <w:tc>
          <w:tcPr>
            <w:tcW w:w="4283"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科教产融合赋能创新型人才培养的机制研究</w:t>
            </w:r>
          </w:p>
        </w:tc>
        <w:tc>
          <w:tcPr>
            <w:tcW w:w="1250"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张丽红</w:t>
            </w:r>
          </w:p>
        </w:tc>
        <w:tc>
          <w:tcPr>
            <w:tcW w:w="2667"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政法学院</w:t>
            </w:r>
          </w:p>
        </w:tc>
        <w:tc>
          <w:tcPr>
            <w:tcW w:w="783" w:type="dxa"/>
            <w:tcBorders>
              <w:bottom w:val="single" w:color="auto" w:sz="4" w:space="0"/>
            </w:tcBorders>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tcBorders>
              <w:bottom w:val="single" w:color="auto" w:sz="4" w:space="0"/>
            </w:tcBorders>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22</w:t>
            </w:r>
          </w:p>
        </w:tc>
        <w:tc>
          <w:tcPr>
            <w:tcW w:w="4283"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推进《习近平谈治国理政》多语种版本“三进”理论研究与实践背景下《笔译理论与实践》课程建设研究</w:t>
            </w:r>
          </w:p>
        </w:tc>
        <w:tc>
          <w:tcPr>
            <w:tcW w:w="1250"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李常清</w:t>
            </w:r>
          </w:p>
        </w:tc>
        <w:tc>
          <w:tcPr>
            <w:tcW w:w="2667"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外国语学院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（国际教育学院）</w:t>
            </w:r>
          </w:p>
        </w:tc>
        <w:tc>
          <w:tcPr>
            <w:tcW w:w="783" w:type="dxa"/>
            <w:tcBorders>
              <w:bottom w:val="single" w:color="auto" w:sz="4" w:space="0"/>
            </w:tcBorders>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tcBorders>
              <w:bottom w:val="single" w:color="auto" w:sz="4" w:space="0"/>
            </w:tcBorders>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23</w:t>
            </w:r>
          </w:p>
        </w:tc>
        <w:tc>
          <w:tcPr>
            <w:tcW w:w="4283"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国家级一流专业建设背景下“英语+国别研究”人才培养模式探索与实践</w:t>
            </w:r>
          </w:p>
        </w:tc>
        <w:tc>
          <w:tcPr>
            <w:tcW w:w="1250"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卓华</w:t>
            </w:r>
          </w:p>
        </w:tc>
        <w:tc>
          <w:tcPr>
            <w:tcW w:w="2667"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外国语学院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（国际教育学院）</w:t>
            </w:r>
          </w:p>
        </w:tc>
        <w:tc>
          <w:tcPr>
            <w:tcW w:w="783" w:type="dxa"/>
            <w:tcBorders>
              <w:bottom w:val="single" w:color="auto" w:sz="4" w:space="0"/>
            </w:tcBorders>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tcBorders>
              <w:bottom w:val="single" w:color="auto" w:sz="4" w:space="0"/>
            </w:tcBorders>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24</w:t>
            </w:r>
          </w:p>
        </w:tc>
        <w:tc>
          <w:tcPr>
            <w:tcW w:w="4283"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新形势下美育教育实践教学创新研究——以公共音乐教学为例</w:t>
            </w:r>
          </w:p>
        </w:tc>
        <w:tc>
          <w:tcPr>
            <w:tcW w:w="1250"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苏华</w:t>
            </w:r>
          </w:p>
        </w:tc>
        <w:tc>
          <w:tcPr>
            <w:tcW w:w="2667"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体育与音乐学院</w:t>
            </w:r>
          </w:p>
        </w:tc>
        <w:tc>
          <w:tcPr>
            <w:tcW w:w="783" w:type="dxa"/>
            <w:tcBorders>
              <w:bottom w:val="single" w:color="auto" w:sz="4" w:space="0"/>
            </w:tcBorders>
            <w:vAlign w:val="center"/>
          </w:tcPr>
          <w:p>
            <w:pPr>
              <w:rPr>
                <w:rFonts w:ascii="仿宋" w:hAnsi="仿宋" w:eastAsia="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8" w:type="dxa"/>
            <w:tcBorders>
              <w:bottom w:val="single" w:color="auto" w:sz="4" w:space="0"/>
            </w:tcBorders>
            <w:noWrap/>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25</w:t>
            </w:r>
          </w:p>
        </w:tc>
        <w:tc>
          <w:tcPr>
            <w:tcW w:w="4283"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山东省高校应用型人才培养高质量发展研究与实践——以新工科为例</w:t>
            </w:r>
          </w:p>
        </w:tc>
        <w:tc>
          <w:tcPr>
            <w:tcW w:w="1250"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胡令启</w:t>
            </w:r>
          </w:p>
        </w:tc>
        <w:tc>
          <w:tcPr>
            <w:tcW w:w="2667" w:type="dxa"/>
            <w:tcBorders>
              <w:bottom w:val="single" w:color="auto" w:sz="4" w:space="0"/>
            </w:tcBorders>
            <w:vAlign w:val="center"/>
          </w:tcPr>
          <w:p>
            <w:pPr>
              <w:keepNext w:val="0"/>
              <w:keepLines w:val="0"/>
              <w:widowControl/>
              <w:suppressLineNumbers w:val="0"/>
              <w:jc w:val="center"/>
              <w:textAlignment w:val="center"/>
              <w:rPr>
                <w:rFonts w:ascii="仿宋" w:hAnsi="仿宋" w:eastAsia="仿宋"/>
                <w:b w:val="0"/>
                <w:bCs/>
                <w:sz w:val="24"/>
                <w:szCs w:val="24"/>
              </w:rPr>
            </w:pPr>
            <w:r>
              <w:rPr>
                <w:rFonts w:hint="eastAsia" w:ascii="仿宋" w:hAnsi="仿宋" w:eastAsia="仿宋" w:cs="仿宋"/>
                <w:i w:val="0"/>
                <w:iCs w:val="0"/>
                <w:color w:val="000000"/>
                <w:kern w:val="0"/>
                <w:sz w:val="24"/>
                <w:szCs w:val="24"/>
                <w:u w:val="none"/>
                <w:lang w:val="en-US" w:eastAsia="zh-CN" w:bidi="ar"/>
              </w:rPr>
              <w:t>体育与音乐学院</w:t>
            </w:r>
          </w:p>
        </w:tc>
        <w:tc>
          <w:tcPr>
            <w:tcW w:w="783" w:type="dxa"/>
            <w:tcBorders>
              <w:bottom w:val="single" w:color="auto" w:sz="4" w:space="0"/>
            </w:tcBorders>
            <w:vAlign w:val="center"/>
          </w:tcPr>
          <w:p>
            <w:pPr>
              <w:rPr>
                <w:rFonts w:ascii="仿宋" w:hAnsi="仿宋" w:eastAsia="仿宋"/>
                <w:b w:val="0"/>
                <w:bCs/>
                <w:sz w:val="24"/>
                <w:szCs w:val="24"/>
              </w:rPr>
            </w:pPr>
          </w:p>
        </w:tc>
      </w:tr>
    </w:tbl>
    <w:p>
      <w:pPr>
        <w:jc w:val="left"/>
        <w:rPr>
          <w:rFonts w:hint="eastAsia" w:ascii="仿宋" w:hAnsi="仿宋" w:eastAsia="仿宋"/>
          <w:b w:val="0"/>
          <w:bCs/>
          <w:sz w:val="24"/>
          <w:szCs w:val="24"/>
          <w:lang w:eastAsia="zh-CN"/>
        </w:rPr>
      </w:pPr>
      <w:r>
        <w:rPr>
          <w:rFonts w:hint="eastAsia" w:ascii="仿宋" w:hAnsi="仿宋" w:eastAsia="仿宋"/>
          <w:b w:val="0"/>
          <w:bCs/>
          <w:sz w:val="24"/>
          <w:szCs w:val="24"/>
          <w:lang w:eastAsia="zh-CN"/>
        </w:rPr>
        <w:t>注：排名不分先后。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NWZjNWIyYmUyN2NhN2ZiYzdjMjJjZTY5OWZhODUifQ=="/>
  </w:docVars>
  <w:rsids>
    <w:rsidRoot w:val="35087EE6"/>
    <w:rsid w:val="00556671"/>
    <w:rsid w:val="007F1481"/>
    <w:rsid w:val="00C26839"/>
    <w:rsid w:val="00EE6FA0"/>
    <w:rsid w:val="29EF13F1"/>
    <w:rsid w:val="35087EE6"/>
    <w:rsid w:val="43036368"/>
    <w:rsid w:val="49082166"/>
    <w:rsid w:val="5B0D03FB"/>
    <w:rsid w:val="631B4BAA"/>
    <w:rsid w:val="69990F25"/>
    <w:rsid w:val="76C73C26"/>
    <w:rsid w:val="7ED5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1031</Words>
  <Characters>1050</Characters>
  <Lines>7</Lines>
  <Paragraphs>2</Paragraphs>
  <TotalTime>6</TotalTime>
  <ScaleCrop>false</ScaleCrop>
  <LinksUpToDate>false</LinksUpToDate>
  <CharactersWithSpaces>1050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2022-11-15T03:54:00Z</dcterms:created>
  <dc:creator>小爽子 </dc:creator>
  <cp:lastModifiedBy>游走在水边的鱼</cp:lastModifiedBy>
  <dcterms:modified xsi:type="dcterms:W3CDTF">2022-11-15T08:28:24Z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0A739D054FD34E4E9014C461E90F9BE7</vt:lpwstr>
  </property>
</Properties>
</file>