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学生网上选课操作流程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教务系统使用浏览器建议：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登录方式：IE浏览器（建议使用IE10以下版本的浏览器）或者360浏览器（使用兼容模式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二、选课步骤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输入登录地址：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http://jwxt.qlu.edu.cn/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输入用户名和密码（学生输入学号，默认密码为学号），登录后请先修改密码，以防信息泄露。如果学生忘记密码，请通过首页的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找回学生密码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功能，找回密码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9230" cy="3119755"/>
            <wp:effectExtent l="0" t="0" r="7620" b="444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19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修改密码页面：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步骤三：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点击选课中心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drawing>
          <wp:inline distT="0" distB="0" distL="114300" distR="114300">
            <wp:extent cx="5267960" cy="3021330"/>
            <wp:effectExtent l="0" t="0" r="8890" b="762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步骤四：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找到当前选课学期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（本次选课学年学期为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2018-2019-1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和相应轮次，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9865" cy="2755265"/>
            <wp:effectExtent l="0" t="0" r="6985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”，注意选课控制等相关要求（红色方框）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9230" cy="2426335"/>
            <wp:effectExtent l="0" t="0" r="7620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步骤五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（补选本学期本专业课程）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“本学期计划选课”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标签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，默认不加载课程，需要输入课程名称或课程编号进行查询，支持模糊查询，本学期本专业的所有开课（包括必修课和选修课）在该界面进行选课。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drawing>
          <wp:inline distT="0" distB="0" distL="114300" distR="114300">
            <wp:extent cx="5269865" cy="789940"/>
            <wp:effectExtent l="0" t="0" r="6985" b="1016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（补选本专业其它年级课程）：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“专业内跨年级选课”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标签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，默认不加载课程，需要输入课程名称或课程编号进行查询，支持模糊查询，本学期本专业其它年级的所有开课（包括必修课和选修课）在该界面进行选课。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5261610" cy="762000"/>
            <wp:effectExtent l="0" t="0" r="15240" b="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步骤七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（补选其他专业课程）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“跨专业选课”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标签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，默认不加载课程，需要输入课程名称或课程编号进行查询，支持模糊查询，本学期其他专业各年级的所有开课（包括必修课和选修课）在该界面进行选课。</w:t>
      </w:r>
    </w:p>
    <w:p>
      <w:pPr>
        <w:widowControl/>
        <w:jc w:val="left"/>
      </w:pPr>
      <w:r>
        <w:drawing>
          <wp:inline distT="0" distB="0" distL="114300" distR="114300">
            <wp:extent cx="5269865" cy="774700"/>
            <wp:effectExtent l="0" t="0" r="6985" b="635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步骤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在选课界面下方，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点击中间的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选课结果查看及退选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标签，可以查看这个学期的选课情况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，检查是否选中课程。</w:t>
      </w:r>
    </w:p>
    <w:p>
      <w:pPr>
        <w:widowControl/>
        <w:jc w:val="left"/>
      </w:pPr>
      <w:r>
        <w:drawing>
          <wp:inline distT="0" distB="0" distL="114300" distR="114300">
            <wp:extent cx="5267960" cy="382270"/>
            <wp:effectExtent l="0" t="0" r="8890" b="1778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选课结束后，务必点击右上角的“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eastAsia="zh-CN"/>
        </w:rPr>
        <w:t>安全退出选课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”按钮，以防他人操作。</w:t>
      </w:r>
    </w:p>
    <w:p>
      <w:pPr>
        <w:widowControl/>
        <w:jc w:val="left"/>
        <w:rPr>
          <w:rFonts w:hint="eastAsia"/>
        </w:rPr>
      </w:pPr>
      <w:r>
        <w:drawing>
          <wp:inline distT="0" distB="0" distL="114300" distR="114300">
            <wp:extent cx="5261610" cy="782320"/>
            <wp:effectExtent l="0" t="0" r="15240" b="1778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E798B"/>
    <w:rsid w:val="0AD97F9B"/>
    <w:rsid w:val="14F2474D"/>
    <w:rsid w:val="165D2448"/>
    <w:rsid w:val="177613C6"/>
    <w:rsid w:val="271047C1"/>
    <w:rsid w:val="379875D0"/>
    <w:rsid w:val="4A0B7266"/>
    <w:rsid w:val="4E212013"/>
    <w:rsid w:val="549868DE"/>
    <w:rsid w:val="635D0461"/>
    <w:rsid w:val="6A7A4826"/>
    <w:rsid w:val="6CC37AFF"/>
    <w:rsid w:val="724117DE"/>
    <w:rsid w:val="78610742"/>
    <w:rsid w:val="7D18043F"/>
    <w:rsid w:val="7F83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jwk</dc:creator>
  <cp:lastModifiedBy>Administrator</cp:lastModifiedBy>
  <dcterms:modified xsi:type="dcterms:W3CDTF">2018-09-12T10:10:47Z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