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bookmarkStart w:id="0" w:name="_GoBack"/>
      <w:bookmarkEnd w:id="0"/>
    </w:p>
    <w:p>
      <w:pPr>
        <w:spacing w:line="600" w:lineRule="exact"/>
        <w:jc w:val="center"/>
        <w:rPr>
          <w:rFonts w:hint="eastAsia" w:ascii="方正小标宋简体"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齐鲁工业大学（山东省科学院）</w:t>
      </w:r>
    </w:p>
    <w:p>
      <w:pPr>
        <w:spacing w:line="600" w:lineRule="exact"/>
        <w:jc w:val="center"/>
        <w:rPr>
          <w:rFonts w:hint="default" w:ascii="方正小标宋简体" w:hAnsi="Times New Roman" w:eastAsia="方正小标宋简体" w:cs="Times New Roman"/>
          <w:sz w:val="44"/>
          <w:szCs w:val="44"/>
          <w:lang w:val="en-US" w:eastAsia="zh-CN"/>
        </w:rPr>
      </w:pPr>
      <w:r>
        <w:rPr>
          <w:rFonts w:hint="eastAsia" w:ascii="方正小标宋简体" w:eastAsia="方正小标宋简体" w:cs="Times New Roman"/>
          <w:sz w:val="44"/>
          <w:szCs w:val="44"/>
          <w:lang w:val="en-US" w:eastAsia="zh-CN"/>
        </w:rPr>
        <w:t>2024</w:t>
      </w:r>
      <w:r>
        <w:rPr>
          <w:rFonts w:hint="eastAsia" w:ascii="方正小标宋简体" w:hAnsi="Times New Roman" w:eastAsia="方正小标宋简体" w:cs="Times New Roman"/>
          <w:sz w:val="44"/>
          <w:szCs w:val="44"/>
        </w:rPr>
        <w:t>届优秀</w:t>
      </w:r>
      <w:r>
        <w:rPr>
          <w:rFonts w:hint="eastAsia" w:ascii="方正小标宋简体" w:hAnsi="Times New Roman" w:eastAsia="方正小标宋简体" w:cs="Times New Roman"/>
          <w:sz w:val="44"/>
          <w:szCs w:val="44"/>
          <w:lang w:val="en-US" w:eastAsia="zh-CN"/>
        </w:rPr>
        <w:t>学士学位设计</w:t>
      </w:r>
      <w:r>
        <w:rPr>
          <w:rFonts w:hint="eastAsia" w:ascii="方正小标宋简体" w:hAnsi="Times New Roman" w:eastAsia="方正小标宋简体" w:cs="Times New Roman"/>
          <w:sz w:val="44"/>
          <w:szCs w:val="44"/>
        </w:rPr>
        <w:t>（论文）</w:t>
      </w:r>
      <w:r>
        <w:rPr>
          <w:rFonts w:hint="eastAsia" w:ascii="方正小标宋简体" w:eastAsia="方正小标宋简体" w:cs="Times New Roman"/>
          <w:sz w:val="44"/>
          <w:szCs w:val="44"/>
          <w:lang w:val="en-US" w:eastAsia="zh-CN"/>
        </w:rPr>
        <w:t>评选结果</w:t>
      </w:r>
    </w:p>
    <w:tbl>
      <w:tblPr>
        <w:tblStyle w:val="2"/>
        <w:tblW w:w="13845" w:type="dxa"/>
        <w:tblInd w:w="170" w:type="dxa"/>
        <w:tblLayout w:type="fixed"/>
        <w:tblCellMar>
          <w:top w:w="0" w:type="dxa"/>
          <w:left w:w="108" w:type="dxa"/>
          <w:bottom w:w="0" w:type="dxa"/>
          <w:right w:w="108" w:type="dxa"/>
        </w:tblCellMar>
      </w:tblPr>
      <w:tblGrid>
        <w:gridCol w:w="740"/>
        <w:gridCol w:w="6864"/>
        <w:gridCol w:w="1063"/>
        <w:gridCol w:w="2388"/>
        <w:gridCol w:w="1331"/>
        <w:gridCol w:w="1459"/>
      </w:tblGrid>
      <w:tr>
        <w:tblPrEx>
          <w:tblCellMar>
            <w:top w:w="0" w:type="dxa"/>
            <w:left w:w="108" w:type="dxa"/>
            <w:bottom w:w="0" w:type="dxa"/>
            <w:right w:w="108" w:type="dxa"/>
          </w:tblCellMar>
        </w:tblPrEx>
        <w:trPr>
          <w:trHeight w:val="415" w:hRule="atLeast"/>
        </w:trPr>
        <w:tc>
          <w:tcPr>
            <w:tcW w:w="74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lang w:val="en-US" w:eastAsia="zh-CN"/>
              </w:rPr>
              <w:t>序号</w:t>
            </w:r>
          </w:p>
        </w:tc>
        <w:tc>
          <w:tcPr>
            <w:tcW w:w="686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left="0" w:leftChars="0" w:firstLine="0" w:firstLineChars="0"/>
              <w:jc w:val="center"/>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lang w:val="en-US" w:eastAsia="zh-CN"/>
              </w:rPr>
              <w:t>毕业设计（论文）题目</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left="0" w:leftChars="0" w:firstLine="0" w:firstLineChars="0"/>
              <w:jc w:val="center"/>
              <w:rPr>
                <w:rFonts w:hint="eastAsia" w:ascii="仿宋_GB2312" w:hAnsi="仿宋" w:eastAsia="仿宋_GB2312" w:cs="Times New Roman"/>
                <w:b/>
                <w:bCs/>
                <w:sz w:val="24"/>
                <w:szCs w:val="24"/>
                <w:lang w:val="en-US" w:eastAsia="zh-CN"/>
              </w:rPr>
            </w:pPr>
            <w:r>
              <w:rPr>
                <w:rFonts w:hint="eastAsia" w:ascii="仿宋_GB2312" w:hAnsi="仿宋" w:eastAsia="仿宋_GB2312" w:cs="Times New Roman"/>
                <w:b/>
                <w:bCs/>
                <w:sz w:val="24"/>
                <w:szCs w:val="24"/>
                <w:lang w:val="en-US" w:eastAsia="zh-CN"/>
              </w:rPr>
              <w:t>学生</w:t>
            </w:r>
          </w:p>
          <w:p>
            <w:pPr>
              <w:spacing w:line="560" w:lineRule="exact"/>
              <w:ind w:left="0" w:leftChars="0" w:firstLine="0" w:firstLineChars="0"/>
              <w:jc w:val="center"/>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lang w:val="en-US" w:eastAsia="zh-CN"/>
              </w:rPr>
              <w:t>姓名</w:t>
            </w:r>
          </w:p>
        </w:tc>
        <w:tc>
          <w:tcPr>
            <w:tcW w:w="238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left="0" w:leftChars="0" w:firstLine="0" w:firstLineChars="0"/>
              <w:jc w:val="center"/>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lang w:val="en-US" w:eastAsia="zh-CN"/>
              </w:rPr>
              <w:t>专业班级</w:t>
            </w:r>
          </w:p>
        </w:tc>
        <w:tc>
          <w:tcPr>
            <w:tcW w:w="27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left="0" w:leftChars="0" w:firstLine="0" w:firstLineChars="0"/>
              <w:jc w:val="center"/>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lang w:val="en-US" w:eastAsia="zh-CN"/>
              </w:rPr>
              <w:t>指导教师</w:t>
            </w:r>
          </w:p>
        </w:tc>
      </w:tr>
      <w:tr>
        <w:tblPrEx>
          <w:tblCellMar>
            <w:top w:w="0" w:type="dxa"/>
            <w:left w:w="108" w:type="dxa"/>
            <w:bottom w:w="0" w:type="dxa"/>
            <w:right w:w="108" w:type="dxa"/>
          </w:tblCellMar>
        </w:tblPrEx>
        <w:trPr>
          <w:trHeight w:val="90" w:hRule="atLeast"/>
        </w:trPr>
        <w:tc>
          <w:tcPr>
            <w:tcW w:w="7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482" w:firstLineChars="200"/>
              <w:rPr>
                <w:rFonts w:hint="eastAsia" w:ascii="仿宋_GB2312" w:hAnsi="仿宋" w:eastAsia="仿宋_GB2312" w:cs="Times New Roman"/>
                <w:b/>
                <w:bCs/>
                <w:sz w:val="24"/>
                <w:szCs w:val="24"/>
              </w:rPr>
            </w:pPr>
          </w:p>
        </w:tc>
        <w:tc>
          <w:tcPr>
            <w:tcW w:w="686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left="0" w:leftChars="0" w:firstLine="0" w:firstLineChars="0"/>
              <w:jc w:val="left"/>
              <w:rPr>
                <w:rFonts w:hint="eastAsia" w:ascii="仿宋_GB2312" w:hAnsi="仿宋" w:eastAsia="仿宋_GB2312" w:cs="Times New Roman"/>
                <w:b/>
                <w:bCs/>
                <w:sz w:val="24"/>
                <w:szCs w:val="24"/>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left="0" w:leftChars="0" w:firstLine="0" w:firstLineChars="0"/>
              <w:jc w:val="center"/>
              <w:rPr>
                <w:rFonts w:hint="eastAsia" w:ascii="仿宋_GB2312" w:hAnsi="仿宋" w:eastAsia="仿宋_GB2312" w:cs="Times New Roman"/>
                <w:b/>
                <w:bCs/>
                <w:sz w:val="24"/>
                <w:szCs w:val="24"/>
              </w:rPr>
            </w:pPr>
          </w:p>
        </w:tc>
        <w:tc>
          <w:tcPr>
            <w:tcW w:w="23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left="0" w:leftChars="0" w:firstLine="0" w:firstLineChars="0"/>
              <w:jc w:val="center"/>
              <w:rPr>
                <w:rFonts w:hint="eastAsia" w:ascii="仿宋_GB2312" w:hAnsi="仿宋" w:eastAsia="仿宋_GB2312" w:cs="Times New Roman"/>
                <w:b/>
                <w:bCs/>
                <w:sz w:val="24"/>
                <w:szCs w:val="24"/>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left="0" w:leftChars="0" w:firstLine="0" w:firstLineChars="0"/>
              <w:jc w:val="center"/>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lang w:val="en-US" w:eastAsia="zh-CN"/>
              </w:rPr>
              <w:t>姓名</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left="0" w:leftChars="0" w:firstLine="0" w:firstLineChars="0"/>
              <w:jc w:val="center"/>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lang w:val="en-US" w:eastAsia="zh-CN"/>
              </w:rPr>
              <w:t>职称</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一种用于机器人的超级电容充放电控制系统及控制方法</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周旭昕</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物联网20-1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金小峥</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山东省二手房数据可视化及预测平台设计与实现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袁红太</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计科20-2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赵彦玲；</w:t>
            </w: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  策</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副研究员；高级工程师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面向党史基地查询及党史学习的智能规划平台的设计与实现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葛腾飞</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计科20-3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  茜</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基于RV32I的单周期CPU设计与实现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王瀚垠</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计科20-1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乔新晓</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基于预训练语言模型的医疗问答系统的设计与实现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宋作强</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计科（嵌入式）20-1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郑超群</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助理研究员</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基于STM32养殖场生产监测器系统设计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战艳玉</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物联网（3+2）22-1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张忠杰</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基于深度学习的心脏病风险预测系统的研究与设计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邹润杰</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软件工程20-2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李爱民</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基于虚拟对抗训练的多视角肿瘤良恶性分类方法</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马永政</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网安20-2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管红娇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基于分布式架构的综合性多媒体及云存储平台设计与实现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夏增荃</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数据科学20-2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肖雨腾</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助理研究员</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基于MQTT协议的家居物联网系统的设计与实现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尹俊伟</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数据科学20-1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  军</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面向网络空间安全知识库的大语言模型研究与实现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张晓函</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网安20-2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丁  伟</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助理研究员</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铁修饰的氮、硫掺杂多孔碳的制备及结构表征</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张茂盛</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轻化（造纸）20-1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磊</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改性聚乙烯醇树脂耐水性薄膜的包装性能研究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窦金晓</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包装20-1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郭红革</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水性聚氨酯/木质素-银气凝胶的制备及性能研究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汤金秋</w:t>
            </w:r>
          </w:p>
        </w:tc>
        <w:tc>
          <w:tcPr>
            <w:tcW w:w="23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轻化工程（皮革）</w:t>
            </w:r>
          </w:p>
        </w:tc>
        <w:tc>
          <w:tcPr>
            <w:tcW w:w="1331"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辉</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MOFs修饰纸基材料的合成及姜黄素缓释性能研究</w:t>
            </w:r>
          </w:p>
        </w:tc>
        <w:tc>
          <w:tcPr>
            <w:tcW w:w="1063"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李洪斌</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功能材料20-2</w:t>
            </w: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超</w:t>
            </w:r>
          </w:p>
        </w:tc>
        <w:tc>
          <w:tcPr>
            <w:tcW w:w="145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新媒体时代下的大学生校园文化建设策略研究</w:t>
            </w:r>
          </w:p>
        </w:tc>
        <w:tc>
          <w:tcPr>
            <w:tcW w:w="1063"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王盛琰</w:t>
            </w:r>
          </w:p>
        </w:tc>
        <w:tc>
          <w:tcPr>
            <w:tcW w:w="23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新媒体20-1</w:t>
            </w: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李凤凤</w:t>
            </w:r>
          </w:p>
        </w:tc>
        <w:tc>
          <w:tcPr>
            <w:tcW w:w="145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基于全景视频的纪录片创作与应用研究</w:t>
            </w:r>
          </w:p>
        </w:tc>
        <w:tc>
          <w:tcPr>
            <w:tcW w:w="1063"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贺薇</w:t>
            </w:r>
          </w:p>
        </w:tc>
        <w:tc>
          <w:tcPr>
            <w:tcW w:w="23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新媒体20-2</w:t>
            </w: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林茂海</w:t>
            </w:r>
          </w:p>
        </w:tc>
        <w:tc>
          <w:tcPr>
            <w:tcW w:w="145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光热转换型纤维素基智能穿戴材料的研究</w:t>
            </w:r>
          </w:p>
        </w:tc>
        <w:tc>
          <w:tcPr>
            <w:tcW w:w="1063"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李冲</w:t>
            </w:r>
          </w:p>
        </w:tc>
        <w:tc>
          <w:tcPr>
            <w:tcW w:w="23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印刷20-2</w:t>
            </w: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胡桂春</w:t>
            </w:r>
          </w:p>
        </w:tc>
        <w:tc>
          <w:tcPr>
            <w:tcW w:w="145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新型模切机结构设计和优化</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丁云祥</w:t>
            </w:r>
          </w:p>
        </w:tc>
        <w:tc>
          <w:tcPr>
            <w:tcW w:w="23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机械20-2</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衣明东</w:t>
            </w:r>
          </w:p>
        </w:tc>
        <w:tc>
          <w:tcPr>
            <w:tcW w:w="14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风电塔筒竖直升降巡检机器人设计</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端木文杰</w:t>
            </w:r>
          </w:p>
        </w:tc>
        <w:tc>
          <w:tcPr>
            <w:tcW w:w="23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机械20-2</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张培荣</w:t>
            </w:r>
          </w:p>
        </w:tc>
        <w:tc>
          <w:tcPr>
            <w:tcW w:w="14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油箱加油口模具设计</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赵俊博</w:t>
            </w:r>
          </w:p>
        </w:tc>
        <w:tc>
          <w:tcPr>
            <w:tcW w:w="23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机械20-1</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孙玉晶</w:t>
            </w:r>
          </w:p>
        </w:tc>
        <w:tc>
          <w:tcPr>
            <w:tcW w:w="14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钛合金表面陶瓷涂层的制备及其摩擦性能的研究</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韩纪妹</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机械（中德）20-2</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张德建</w:t>
            </w:r>
          </w:p>
        </w:tc>
        <w:tc>
          <w:tcPr>
            <w:tcW w:w="14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S31668不锈钢多层多道焊接工艺试验研究</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陈耀东</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材控20-1</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  嵩</w:t>
            </w:r>
          </w:p>
        </w:tc>
        <w:tc>
          <w:tcPr>
            <w:tcW w:w="14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基于CAD/CAE技术的卡车线束卡箍注塑模具设计</w:t>
            </w:r>
          </w:p>
        </w:tc>
        <w:tc>
          <w:tcPr>
            <w:tcW w:w="10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程丽凯</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材控（3+2）22-1</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  芳</w:t>
            </w:r>
          </w:p>
        </w:tc>
        <w:tc>
          <w:tcPr>
            <w:tcW w:w="14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农业园区废弃有机物再利用的体验设备的设计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刘翔</w:t>
            </w:r>
          </w:p>
        </w:tc>
        <w:tc>
          <w:tcPr>
            <w:tcW w:w="23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工设20-1</w:t>
            </w:r>
          </w:p>
        </w:tc>
        <w:tc>
          <w:tcPr>
            <w:tcW w:w="133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闫  鹏</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直角坐标型轮胎搬运机器人系统设计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杜均昌</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机器人20-1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张荣敏</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辅助灭火消防机器人结构和电气系统设计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李传琦</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智能制造20-1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丽</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基于ESP32_SIP的HoloCubic--多功能透明显示屏桌面站设计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张盛鑫</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自动化20-1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孙  涛；</w:t>
            </w: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杨加敏</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高级工程师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家庭室外景观鱼池监控系统的设计与实现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宋宇航</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刘  晓；</w:t>
            </w: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马小丽</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工程师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辽宁丹东某110kV变电站设计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王伟涵</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电气20-5</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玮</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基于SCARA机器人的轨迹规划与跟踪控制系统设计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李锦龙</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自动化20-1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纪  鹏</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基于机器学习的简易仓储货物补给装置设计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周华强</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  宁</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智慧垃圾分类控制系统的设计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高鹏</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电气20-4</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郝玲艳</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34</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基于物联网技术的智慧路灯设计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孙浩</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通信20-1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  凯</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风电功率区间预测及储能配置研究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芦乐</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电气20-5</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俞晓冬</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基于单片机的倒车雷达系统设计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姜斌</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电气20-2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祝宝龙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基于改进的DNN模型的语音降噪算法研究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李铎</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贺爱玲</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年产200吨磷脂酶工厂设计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武玉康</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生工20-3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迪</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一步法年产5万吨维生素C工厂设计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张志良</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生工20-1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刘洪玲</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90"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桑黄液体发酵菌丝体多糖的分离提取和抗氧化研究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魏子成</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酿酒工程(中新)20-1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亓正良</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酿酒酵母和耐热克鲁维酵母混合酒精发酵过程乙醛代谢特征的初步研究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张久泽</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酿酒工程（中新）20-2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韩国民</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分泌糖异构酶大肠杆菌工程菌株的构建和应用</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郑子怡</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生技20-1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灿</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油浓度对莲子奶乳液酸性凝胶流变性质和微观结构的影响</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马春雪</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食品（3+2）22-1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钊</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44</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“元气满满”牡丹蛋白棒的设计与开发</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巩美辰</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食品（菏）20-1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陶海腾</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年产6000吨哈尔滨红肠的工厂设计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尹思晴</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食安20-1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吕  蕾</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年产10000吨发酵乳饮料的工厂设计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温安琪</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食品20-1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曲静然</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年产600吨罗非鱼胶原蛋白肽食品工厂设计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任一凡</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食品（菏）20-3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赵祥忠</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年产3000吨低盐酱牛肉的工厂设计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许寅恪</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食品（3+2）22-2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  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某造纸生态园区水循环利用系统设计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任金源</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环生20-1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蕾</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黄铁矿型FeS2纳米颗粒对亚甲基蓝吸附性能研究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徐昊生</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环科(菁英班)20-1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史晓国</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日处理15000立方米城镇生活废水工程设计</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李响</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环工20-3</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张记市</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FeS2/TiO2纳米复合材料制备及光催化性能研究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高原</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环工20-3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史晓国</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负电性糖基聚合物选择性去除阳离子有机污染物的通用制备策略</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姚博轩</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化学（学术型）20-1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杨升宏</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54</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碳点基纳米酶的合成及其在过氧化氢检测中的应用</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张彩云</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化学（学术型）20-1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杨升宏</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铜基金属有机框架纳米酶的制备及其构建电化学免疫传感器研究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白亚亮</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化学（学术实验班）20-1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王耀光</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年产80吨阿苯达唑生产工艺设计</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刘璐</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制药（学术型）20-2</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张大同</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90"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供-受体共价有机框架材料的设计合成及光催化性能研究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林雨晴</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制药（学术型）20-3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王学朋</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新酯酶PE0279的分离纯化和酶学性质研究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周文冉</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制药（学术型）20-1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周明扬</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年产1亿粒阿托伐他汀钙胶囊的生产工艺设计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李海燕</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制药（学术型）20-2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燕</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3,3-二甲基-2-丁酮合成研究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赵志远</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制药（菏）20-3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  伟</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非贵金属催化剂的制备及其ORR性能</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王相强</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化工（学术型）20-1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贾海园</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90"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5万吨/年C5中提取间戊二烯工段的工艺设计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宋晓琳</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化工（菏）20-1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  宁</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MOF衍生碳材料催化剂的制备及其ORR性能</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罗洁</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化工（菏）20-2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贾海园</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64</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基于铁钴双金属催化剂的电催化氧还原反应研究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官晨静</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应化（学术型）20-1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陈长利</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吲唑苯并咪唑金属配合物的合成及表征</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李昊</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药剂20-2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汤桂梅</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Manzamine A抑制黑色素瘤SK-MEL-28细胞的活性与机制探究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徐子红</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药剂20-2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  涛</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氯氮平药物晶体形貌调控研究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马源昌</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药学20-1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于  帅</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可见光激发超长室温磷光碳点材料及其防伪和信息存储应用</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贾月涵</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复材20-2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王子飞</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不同pH对中硼硅玻璃的物理性能及化学稳定性影响研究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孟德远</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材工（英才班）20-1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沈  阳</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70</w:t>
            </w:r>
          </w:p>
        </w:tc>
        <w:tc>
          <w:tcPr>
            <w:tcW w:w="6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9000吨每年产量骨质瓷厂区及原料车间工艺设计</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胡舒涵</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材工20-1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  萍</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71</w:t>
            </w:r>
          </w:p>
        </w:tc>
        <w:tc>
          <w:tcPr>
            <w:tcW w:w="6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淀粉衍生碳钠离子电池负极材料的制备与性能研究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曹石磊</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高分子20-1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任慢慢</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72</w:t>
            </w:r>
          </w:p>
        </w:tc>
        <w:tc>
          <w:tcPr>
            <w:tcW w:w="6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聚苯胺衍生碳作锌碘电池正极材料及电化学性能研究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葛林恒</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高分子（菏）20-1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刘伟良</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年产1万吨单分散聚丙烯酰胺微球的生产工艺设计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李津朋</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高分子（菏）20-2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献</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74</w:t>
            </w:r>
          </w:p>
        </w:tc>
        <w:tc>
          <w:tcPr>
            <w:tcW w:w="6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黑蓝色蓝宝石去除黑色调技术研究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孙立新</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宝石20-1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陈淑祥</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75</w:t>
            </w:r>
          </w:p>
        </w:tc>
        <w:tc>
          <w:tcPr>
            <w:tcW w:w="6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Zn1-xCdxS固溶体的制备及其光催化性能的研究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姜腾飞</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材化20-2</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黄美苓</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基于统计方法的新能源汽车发展水平趋势预测</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裴雨晴</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统计20-1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谭玉珍</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中级</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基于vLLM的大语言模型推理加速</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周嵩涛</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云计算20-2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  霞</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餐饮服务智能化管理系统的设计与实现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韩子珺</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云计算20-2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石  扬；</w:t>
            </w: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崔瑞娟</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双侧空间分数阶非线性变系数扩散方程并行算法研究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詹承霖</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信计20-1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张绪浩</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80</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交通运输客流量的影响因素分析及时间序列预测模型</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贾卓涵</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统计20-1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黄玉林</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基于孪生网络的心电图数据研究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刘欣搏</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智科20-2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谢小云</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副研究员</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基于滑模控制方法的无人机系统协同编队控制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王月丰</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智科20-1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刘丽霞</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83</w:t>
            </w:r>
          </w:p>
        </w:tc>
        <w:tc>
          <w:tcPr>
            <w:tcW w:w="686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具有轨到轨NP互补差分对的运算放大器设计</w:t>
            </w:r>
          </w:p>
        </w:tc>
        <w:tc>
          <w:tcPr>
            <w:tcW w:w="10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唐依笑</w:t>
            </w:r>
          </w:p>
        </w:tc>
        <w:tc>
          <w:tcPr>
            <w:tcW w:w="23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微电子20-2</w:t>
            </w:r>
          </w:p>
        </w:tc>
        <w:tc>
          <w:tcPr>
            <w:tcW w:w="133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  峻</w:t>
            </w:r>
          </w:p>
        </w:tc>
        <w:tc>
          <w:tcPr>
            <w:tcW w:w="14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84</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Yb:LaF3晶体的1µm波段激光偏振特性研究</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祁荟璇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光电20-2</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春</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85</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双功能钙基催化剂催化合成生物柴油性能研究</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吴金轲</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能动20-1</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于贺伟</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86</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黄河口及其邻近海域表层悬浮泥沙浓度长时序遥感监测研究</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范乾毅</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海洋技术20-2</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禹定峰</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87</w:t>
            </w:r>
          </w:p>
        </w:tc>
        <w:tc>
          <w:tcPr>
            <w:tcW w:w="686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基于Logistic混沌系统与DNA编码的图像加密算法设计与实现</w:t>
            </w:r>
          </w:p>
        </w:tc>
        <w:tc>
          <w:tcPr>
            <w:tcW w:w="106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毛忠林</w:t>
            </w:r>
          </w:p>
        </w:tc>
        <w:tc>
          <w:tcPr>
            <w:tcW w:w="23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测控（海洋）20-2</w:t>
            </w:r>
          </w:p>
        </w:tc>
        <w:tc>
          <w:tcPr>
            <w:tcW w:w="133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寇  磊</w:t>
            </w:r>
          </w:p>
        </w:tc>
        <w:tc>
          <w:tcPr>
            <w:tcW w:w="1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助理研究员</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基于Spring Cloud框架的宽带业务流程管理微服务化的设计与实现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孙垭芃</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信智20-1班</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张晓燕</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基于SOR模型的李宁运动产品情感营销策略研究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师晓雨</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信互20-1班</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赵秀丽</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浅谈当代大学生专利意识现状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张瀚</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人管20-2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刘学方</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东方甄选知识型主播对消费者购买农产品意愿的影响研究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张惠丽</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营销20-2</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荣  梅</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D-阿洛酮糖高通量检测方法的建立</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刘文杰</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营销20-3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马永强</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瑞幸咖啡跨界营销对消费者购买意愿的影响研究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宿惠来</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营销（菏）20-1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葛万达</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94</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数字贸易浪潮下广东制造业发展路径研究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魏玲玲</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国际商务20-1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崔桂莲</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数据资产的会计确认与计量问题初探</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姚秋月</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财管20-1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李传军</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ESG治理对企业财务绩效的影响研究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王可</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会计20-1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  竞</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《即将到来的浪潮（第119-133页）》和《风险社会及其映像（第28-49页）》翻译实践报告</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陈玉洁</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会计20-2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郭吉涛</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股权激励对企业绩效的影响</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公倩</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财管20-1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李欣先</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环境信息披露对企业价值增值的影响——基于生命周期理论视角</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殷若轩</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财务管理20-2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郭吉涛</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71"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w:t>
            </w:r>
          </w:p>
        </w:tc>
        <w:tc>
          <w:tcPr>
            <w:tcW w:w="686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上市公司ESG表现对企业价值的影响研究-基于中证500成分股的实证分析</w:t>
            </w:r>
          </w:p>
        </w:tc>
        <w:tc>
          <w:tcPr>
            <w:tcW w:w="10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陈心怡</w:t>
            </w:r>
          </w:p>
        </w:tc>
        <w:tc>
          <w:tcPr>
            <w:tcW w:w="23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金融20-3</w:t>
            </w:r>
          </w:p>
        </w:tc>
        <w:tc>
          <w:tcPr>
            <w:tcW w:w="133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陈宗义</w:t>
            </w:r>
          </w:p>
        </w:tc>
        <w:tc>
          <w:tcPr>
            <w:tcW w:w="14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101</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金融监管对我国省际经济发展的作用研究</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梁清华</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金融20-3</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崔凌云</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102</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我国互联网保险的风险控制研究</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田晨璇</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金融20-7</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郭  强</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103</w:t>
            </w:r>
          </w:p>
        </w:tc>
        <w:tc>
          <w:tcPr>
            <w:tcW w:w="6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家用绿植供养机器人设计</w:t>
            </w:r>
          </w:p>
        </w:tc>
        <w:tc>
          <w:tcPr>
            <w:tcW w:w="10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王万里</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产品20-1</w:t>
            </w:r>
          </w:p>
        </w:tc>
        <w:tc>
          <w:tcPr>
            <w:tcW w:w="133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李西运</w:t>
            </w:r>
          </w:p>
        </w:tc>
        <w:tc>
          <w:tcPr>
            <w:tcW w:w="145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104</w:t>
            </w:r>
          </w:p>
        </w:tc>
        <w:tc>
          <w:tcPr>
            <w:tcW w:w="686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《结意》</w:t>
            </w:r>
          </w:p>
        </w:tc>
        <w:tc>
          <w:tcPr>
            <w:tcW w:w="106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王丽冰</w:t>
            </w:r>
          </w:p>
        </w:tc>
        <w:tc>
          <w:tcPr>
            <w:tcW w:w="23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服装20-1</w:t>
            </w:r>
          </w:p>
        </w:tc>
        <w:tc>
          <w:tcPr>
            <w:tcW w:w="133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冯  蕾</w:t>
            </w:r>
          </w:p>
        </w:tc>
        <w:tc>
          <w:tcPr>
            <w:tcW w:w="1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“集章热”现象下城市文化的符号呈现及传播效果研究</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王诗琪</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广告20-1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  婧</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童樾·柳荫——儿童友好理念下的可互动街区改造设计</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陈明兴</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环设20-5</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李建华</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“互·享”——基于城市更新背景下的新型未来社区综合体设计</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李晓程</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环设20-3</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  慧</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沉浸式空间在数字艺术中的创新应用——以毕业设计《国宝新语》为例</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谢泽华</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数媒20-2</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夏洪波</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《沿着黄河看非遗》</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苏凯笛</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视传(装饰)20-1</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  芳</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110</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织梦补痕——基于“织补”理论下的乡村旅游景观设计</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李祥</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环设20-3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  磊</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八荒档案局</w:t>
            </w:r>
          </w:p>
        </w:tc>
        <w:tc>
          <w:tcPr>
            <w:tcW w:w="106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孙馥芮</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视传20-4</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刘熙霞</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造境</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邵怡倩</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视传20-2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贺姗姗</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《新加坡调解公约》背景下中国商事调解制度的完善研究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赵晓晨</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法学20-2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刘红梅</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114</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浅析国际法视野下的北极海洋环境法律问题</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王冬雪</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法学20-2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林</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浅析反不正当竞争法视域下数据抓取行为的法律规制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董寒</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法学20-3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吴雪莲</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116</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从创伤理论视角解读《你当像鸟飞往你的山》</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韩雅妍</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英语20-1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谭小翠</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117</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中美情景喜剧会话对比分析 — 以《家有儿女》和《小谢尔顿》为例</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胡潇艺</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英语20-5</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萍</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118</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基于文化翻译理论的《水浒传》人物绰号英译本比较研究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崔培媛</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英语20-4</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刘晓茜</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119</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大江健三郎《奇妙的工作》中的“希望”——以对鲁迅文学的受容为线索</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徐悦</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日语20-1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彭  旭</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德国朔尔茨政府的难民政策及其多重影响研究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李霄泉</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翻译20-2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卓  华</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121</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无法规避的异化——对《伤逝》的精神分析解读</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李欣泽</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汉语20-1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122</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咏叹调《你赢得了诉讼》的音乐分析与演唱实践</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狄茂臻</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音表20-2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张丽丽</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讲师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123</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融合动漫文化的皮革文创产品设计与制作</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方灵希</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轻化（基辅）20-1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鹿文慧</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124</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酿酒酵母中过氧化物酶体合成单萜香叶醇的研究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杜欣桐</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生技（基辅）20-1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赵建志</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r>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bottom"/>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125</w:t>
            </w:r>
          </w:p>
        </w:tc>
        <w:tc>
          <w:tcPr>
            <w:tcW w:w="6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吉盔祥纹</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韩玉湖</w:t>
            </w:r>
          </w:p>
        </w:tc>
        <w:tc>
          <w:tcPr>
            <w:tcW w:w="2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视传（基辅）20-1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贺姗姗</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副教授</w:t>
            </w:r>
          </w:p>
        </w:tc>
      </w:tr>
    </w:tbl>
    <w:p>
      <w:pPr>
        <w:spacing w:line="600" w:lineRule="exact"/>
        <w:rPr>
          <w:rFonts w:hint="eastAsia" w:ascii="仿宋" w:hAnsi="仿宋" w:eastAsia="仿宋"/>
          <w:sz w:val="32"/>
          <w:szCs w:val="32"/>
        </w:rPr>
      </w:pPr>
    </w:p>
    <w:p/>
    <w:sectPr>
      <w:pgSz w:w="16838" w:h="11906" w:orient="landscape"/>
      <w:pgMar w:top="1644" w:right="1701" w:bottom="164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39954E3-A211-4DA5-AC68-12755C93703D}"/>
  </w:font>
  <w:font w:name="方正小标宋简体">
    <w:panose1 w:val="02000000000000000000"/>
    <w:charset w:val="86"/>
    <w:family w:val="auto"/>
    <w:pitch w:val="default"/>
    <w:sig w:usb0="00000001" w:usb1="08000000" w:usb2="00000000" w:usb3="00000000" w:csb0="00040000" w:csb1="00000000"/>
    <w:embedRegular r:id="rId2" w:fontKey="{5A02FF71-ECFF-47CB-AE76-913F35D59F05}"/>
  </w:font>
  <w:font w:name="仿宋_GB2312">
    <w:panose1 w:val="02010609030101010101"/>
    <w:charset w:val="86"/>
    <w:family w:val="modern"/>
    <w:pitch w:val="default"/>
    <w:sig w:usb0="00000001" w:usb1="080E0000" w:usb2="00000000" w:usb3="00000000" w:csb0="00040000" w:csb1="00000000"/>
    <w:embedRegular r:id="rId3" w:fontKey="{E7CB3A91-B8ED-42B8-994A-111FF0B8127E}"/>
  </w:font>
  <w:font w:name="仿宋">
    <w:panose1 w:val="02010609060101010101"/>
    <w:charset w:val="86"/>
    <w:family w:val="modern"/>
    <w:pitch w:val="default"/>
    <w:sig w:usb0="800002BF" w:usb1="38CF7CFA" w:usb2="00000016" w:usb3="00000000" w:csb0="00040001" w:csb1="00000000"/>
    <w:embedRegular r:id="rId4" w:fontKey="{B144EA5E-52F3-425D-B8A1-62FA195C14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TZiZDViOTQ2OTQ1ZDkwOWQ1Y2IyMjIxNDM3ODQifQ=="/>
  </w:docVars>
  <w:rsids>
    <w:rsidRoot w:val="710C076F"/>
    <w:rsid w:val="62FB0148"/>
    <w:rsid w:val="710C0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4143</Words>
  <Characters>4850</Characters>
  <Lines>0</Lines>
  <Paragraphs>0</Paragraphs>
  <TotalTime>2</TotalTime>
  <ScaleCrop>false</ScaleCrop>
  <LinksUpToDate>false</LinksUpToDate>
  <CharactersWithSpaces>4958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2024-06-21T07:39:00Z</dcterms:created>
  <dc:creator>暖心</dc:creator>
  <cp:lastModifiedBy>暖心</cp:lastModifiedBy>
  <dcterms:modified xsi:type="dcterms:W3CDTF">2024-06-21T07:47:22Z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57D1F9E32F26432ABD6BF51C3DC72178_11</vt:lpwstr>
  </property>
</Properties>
</file>